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AB29D-0D12-46C5-A7EC-32EA3E600F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